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4C" w:rsidRDefault="00D7504C" w:rsidP="00D7504C">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Old Oak Neighbourhood Forum and Grand Union Alliance joint meeting  6.30pm Tuesday, 4 June 2019 The Collective, Old Oak Lane  NW10 6FF</w:t>
      </w:r>
    </w:p>
    <w:p w:rsidR="00D7504C" w:rsidRDefault="00D7504C" w:rsidP="00D7504C">
      <w:pPr>
        <w:spacing w:after="0" w:line="240" w:lineRule="auto"/>
        <w:rPr>
          <w:rFonts w:cstheme="minorHAnsi"/>
          <w:b/>
        </w:rPr>
      </w:pPr>
      <w:r>
        <w:rPr>
          <w:rFonts w:cstheme="minorHAnsi"/>
          <w:b/>
        </w:rPr>
        <w:t>Agenda:</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1.  Welcome and notes of May 7</w:t>
      </w:r>
      <w:r>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meeting (copy attached).</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2.  Update on latest OPDC activities and governance arrangements (concerns on ‘community engagement, conflicting roles of the Corporation as planning authority and ‘delivery agent’, personnel changes at OPDC</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3. The June 6</w:t>
      </w:r>
      <w:r>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EIP hearing.  Views and concerns we may be able to add to previous representations</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4.  Consultation by LBHF on the future of the Linford Christie Stadium HS2 – latest moves by QPR and campaign activity by the Friends of Wormwood Scrubs</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 xml:space="preserve">5. Current action on health and environmental issues arising from HS2 works and construction at the </w:t>
      </w:r>
      <w:proofErr w:type="spellStart"/>
      <w:r>
        <w:rPr>
          <w:rFonts w:ascii="Calibri" w:eastAsia="Times New Roman" w:hAnsi="Calibri" w:cs="Calibri"/>
          <w:sz w:val="24"/>
          <w:szCs w:val="24"/>
          <w:lang w:eastAsia="en-GB"/>
        </w:rPr>
        <w:t>Oaklands</w:t>
      </w:r>
      <w:proofErr w:type="spellEnd"/>
      <w:r>
        <w:rPr>
          <w:rFonts w:ascii="Calibri" w:eastAsia="Times New Roman" w:hAnsi="Calibri" w:cs="Calibri"/>
          <w:sz w:val="24"/>
          <w:szCs w:val="24"/>
          <w:lang w:eastAsia="en-GB"/>
        </w:rPr>
        <w:t xml:space="preserve"> development.</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6. Harlesden Neighbourhood Plan – outcome of referendum being held on 30</w:t>
      </w:r>
      <w:r>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May</w:t>
      </w:r>
    </w:p>
    <w:p w:rsidR="00D7504C" w:rsidRDefault="00D7504C" w:rsidP="00D7504C">
      <w:pPr>
        <w:spacing w:after="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7. Willesden Junction station – latest on redesign proposals</w:t>
      </w:r>
    </w:p>
    <w:p w:rsidR="00D7504C" w:rsidRDefault="00D7504C" w:rsidP="00D7504C">
      <w:pPr>
        <w:spacing w:after="100" w:line="240" w:lineRule="auto"/>
        <w:rPr>
          <w:rFonts w:ascii="Verdana" w:eastAsia="Times New Roman" w:hAnsi="Verdana" w:cs="Times New Roman"/>
          <w:sz w:val="24"/>
          <w:szCs w:val="24"/>
          <w:lang w:eastAsia="en-GB"/>
        </w:rPr>
      </w:pPr>
      <w:r>
        <w:rPr>
          <w:rFonts w:ascii="Calibri" w:eastAsia="Times New Roman" w:hAnsi="Calibri" w:cs="Calibri"/>
          <w:sz w:val="24"/>
          <w:szCs w:val="24"/>
          <w:lang w:eastAsia="en-GB"/>
        </w:rPr>
        <w:t>8. Any other business and/or new issues of local concern</w:t>
      </w:r>
    </w:p>
    <w:p w:rsidR="00D7504C" w:rsidRDefault="00D7504C" w:rsidP="00D7504C">
      <w:pPr>
        <w:spacing w:after="0" w:line="240" w:lineRule="auto"/>
        <w:rPr>
          <w:rFonts w:ascii="Times New Roman" w:eastAsia="Times New Roman" w:hAnsi="Times New Roman" w:cs="Times New Roman"/>
          <w:sz w:val="24"/>
          <w:szCs w:val="24"/>
          <w:lang w:eastAsia="en-GB"/>
        </w:rPr>
      </w:pPr>
    </w:p>
    <w:p w:rsidR="00D7504C" w:rsidRDefault="00D7504C" w:rsidP="00D7504C">
      <w:pPr>
        <w:spacing w:after="0" w:line="240" w:lineRule="auto"/>
        <w:rPr>
          <w:rFonts w:ascii="Calibri" w:eastAsia="Times New Roman" w:hAnsi="Calibri" w:cs="Calibri"/>
          <w:b/>
          <w:lang w:eastAsia="en-GB"/>
        </w:rPr>
      </w:pPr>
      <w:r>
        <w:rPr>
          <w:rFonts w:ascii="Calibri" w:eastAsia="Times New Roman" w:hAnsi="Calibri" w:cs="Calibri"/>
          <w:b/>
          <w:lang w:eastAsia="en-GB"/>
        </w:rPr>
        <w:t>Additional Explanatory Notes:</w:t>
      </w:r>
    </w:p>
    <w:p w:rsidR="00D7504C" w:rsidRDefault="00D7504C" w:rsidP="00D7504C">
      <w:pPr>
        <w:spacing w:after="0" w:line="240" w:lineRule="auto"/>
        <w:rPr>
          <w:rFonts w:ascii="Calibri" w:eastAsia="Times New Roman" w:hAnsi="Calibri" w:cs="Calibri"/>
          <w:lang w:eastAsia="en-GB"/>
        </w:rPr>
      </w:pPr>
      <w:r>
        <w:rPr>
          <w:rFonts w:ascii="Calibri" w:eastAsia="Times New Roman" w:hAnsi="Calibri" w:cs="Calibri"/>
          <w:lang w:eastAsia="en-GB"/>
        </w:rPr>
        <w:t xml:space="preserve">OPDC has made further responses to matters discussed at the April </w:t>
      </w:r>
      <w:proofErr w:type="spellStart"/>
      <w:r>
        <w:rPr>
          <w:rFonts w:ascii="Calibri" w:eastAsia="Times New Roman" w:hAnsi="Calibri" w:cs="Calibri"/>
          <w:lang w:eastAsia="en-GB"/>
        </w:rPr>
        <w:t>EiP</w:t>
      </w:r>
      <w:proofErr w:type="spellEnd"/>
      <w:r>
        <w:rPr>
          <w:rFonts w:ascii="Calibri" w:eastAsia="Times New Roman" w:hAnsi="Calibri" w:cs="Calibri"/>
          <w:lang w:eastAsia="en-GB"/>
        </w:rPr>
        <w:t xml:space="preserve"> hearing. These are recent postings on the </w:t>
      </w:r>
      <w:proofErr w:type="spellStart"/>
      <w:r>
        <w:rPr>
          <w:rFonts w:ascii="Calibri" w:eastAsia="Times New Roman" w:hAnsi="Calibri" w:cs="Calibri"/>
          <w:lang w:eastAsia="en-GB"/>
        </w:rPr>
        <w:t>EiP</w:t>
      </w:r>
      <w:proofErr w:type="spellEnd"/>
      <w:r>
        <w:rPr>
          <w:rFonts w:ascii="Calibri" w:eastAsia="Times New Roman" w:hAnsi="Calibri" w:cs="Calibri"/>
          <w:lang w:eastAsia="en-GB"/>
        </w:rPr>
        <w:t xml:space="preserve"> webpage entitled ‘OPDC Response to Hearing Actions’. For example, the redesign of Willesden Junction Station (Matter 6)</w:t>
      </w:r>
      <w:r>
        <w:t xml:space="preserve"> </w:t>
      </w:r>
      <w:hyperlink r:id="rId5" w:history="1">
        <w:r>
          <w:rPr>
            <w:rStyle w:val="Hyperlink"/>
          </w:rPr>
          <w:t xml:space="preserve">OPDC-028 OPDC Response to Hearing </w:t>
        </w:r>
        <w:proofErr w:type="gramStart"/>
        <w:r>
          <w:rPr>
            <w:rStyle w:val="Hyperlink"/>
          </w:rPr>
          <w:t>Actions </w:t>
        </w:r>
        <w:proofErr w:type="gramEnd"/>
      </w:hyperlink>
      <w:r>
        <w:rPr>
          <w:rFonts w:ascii="Calibri" w:eastAsia="Times New Roman" w:hAnsi="Calibri" w:cs="Calibri"/>
          <w:lang w:eastAsia="en-GB"/>
        </w:rPr>
        <w:t xml:space="preserve">. </w:t>
      </w:r>
    </w:p>
    <w:p w:rsidR="00D7504C" w:rsidRDefault="00D7504C" w:rsidP="00D7504C">
      <w:pPr>
        <w:spacing w:after="0" w:line="240" w:lineRule="auto"/>
        <w:rPr>
          <w:rFonts w:ascii="Calibri" w:eastAsia="Times New Roman" w:hAnsi="Calibri" w:cs="Calibri"/>
          <w:lang w:eastAsia="en-GB"/>
        </w:rPr>
      </w:pPr>
      <w:r>
        <w:rPr>
          <w:rFonts w:ascii="Calibri" w:eastAsia="Times New Roman" w:hAnsi="Calibri" w:cs="Calibri"/>
          <w:lang w:eastAsia="en-GB"/>
        </w:rPr>
        <w:t>Other post hearing documents include:</w:t>
      </w:r>
    </w:p>
    <w:p w:rsidR="00D7504C" w:rsidRDefault="00D7504C" w:rsidP="00D7504C">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roofErr w:type="gramStart"/>
      <w:r>
        <w:rPr>
          <w:rFonts w:ascii="Calibri" w:eastAsia="Times New Roman" w:hAnsi="Calibri" w:cs="Calibri"/>
          <w:lang w:eastAsia="en-GB"/>
        </w:rPr>
        <w:t>the</w:t>
      </w:r>
      <w:proofErr w:type="gramEnd"/>
      <w:r>
        <w:rPr>
          <w:rFonts w:ascii="Calibri" w:eastAsia="Times New Roman" w:hAnsi="Calibri" w:cs="Calibri"/>
          <w:lang w:eastAsia="en-GB"/>
        </w:rPr>
        <w:t xml:space="preserve"> Inspector’s </w:t>
      </w:r>
      <w:r>
        <w:rPr>
          <w:rFonts w:eastAsia="Times New Roman" w:cstheme="minorHAnsi"/>
          <w:lang w:eastAsia="en-GB"/>
        </w:rPr>
        <w:t xml:space="preserve">ID-26 </w:t>
      </w:r>
      <w:hyperlink r:id="rId6" w:history="1">
        <w:r>
          <w:rPr>
            <w:rStyle w:val="Hyperlink"/>
            <w:rFonts w:eastAsia="Times New Roman" w:cstheme="minorHAnsi"/>
            <w:sz w:val="24"/>
            <w:szCs w:val="24"/>
            <w:lang w:eastAsia="en-GB"/>
          </w:rPr>
          <w:t>Matters arising from Hearing Sessions</w:t>
        </w:r>
      </w:hyperlink>
      <w:r>
        <w:rPr>
          <w:rFonts w:eastAsia="Times New Roman" w:cstheme="minorHAnsi"/>
          <w:sz w:val="24"/>
          <w:szCs w:val="24"/>
          <w:lang w:eastAsia="en-GB"/>
        </w:rPr>
        <w:t>; and the OPDC’s set of revised maps of places and  policies at</w:t>
      </w:r>
      <w:r>
        <w:rPr>
          <w:rFonts w:ascii="Times New Roman" w:eastAsia="Times New Roman" w:hAnsi="Times New Roman" w:cs="Times New Roman"/>
          <w:sz w:val="24"/>
          <w:szCs w:val="24"/>
          <w:lang w:eastAsia="en-GB"/>
        </w:rPr>
        <w:t xml:space="preserve"> </w:t>
      </w:r>
    </w:p>
    <w:p w:rsidR="00D7504C" w:rsidRDefault="00D7504C" w:rsidP="00D7504C">
      <w:pPr>
        <w:spacing w:after="0" w:line="240" w:lineRule="auto"/>
      </w:pPr>
      <w:r>
        <w:rPr>
          <w:rFonts w:ascii="Calibri" w:eastAsia="Times New Roman" w:hAnsi="Calibri" w:cs="Calibri"/>
          <w:lang w:eastAsia="en-GB"/>
        </w:rPr>
        <w:t xml:space="preserve">  </w:t>
      </w:r>
      <w:hyperlink r:id="rId7" w:history="1">
        <w:r>
          <w:rPr>
            <w:rStyle w:val="Hyperlink"/>
          </w:rPr>
          <w:t>OPDC-025 Post Submission Minor Modifications to Figures and Policies Map </w:t>
        </w:r>
      </w:hyperlink>
    </w:p>
    <w:p w:rsidR="00D7504C" w:rsidRDefault="00D7504C" w:rsidP="00D7504C">
      <w:pPr>
        <w:spacing w:after="0" w:line="240" w:lineRule="auto"/>
      </w:pPr>
    </w:p>
    <w:p w:rsidR="00D7504C" w:rsidRDefault="00D7504C" w:rsidP="00D7504C">
      <w:pPr>
        <w:spacing w:after="0" w:line="240" w:lineRule="auto"/>
        <w:rPr>
          <w:rFonts w:ascii="Calibri" w:eastAsia="Times New Roman" w:hAnsi="Calibri" w:cs="Calibri"/>
          <w:lang w:eastAsia="en-GB"/>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9026"/>
      </w:tblGrid>
      <w:tr w:rsidR="00D7504C" w:rsidTr="00D7504C">
        <w:trPr>
          <w:tblCellSpacing w:w="0" w:type="dxa"/>
        </w:trPr>
        <w:tc>
          <w:tcPr>
            <w:tcW w:w="0" w:type="auto"/>
            <w:shd w:val="clear" w:color="auto" w:fill="F5F5F5"/>
            <w:vAlign w:val="center"/>
            <w:hideMark/>
          </w:tcPr>
          <w:p w:rsidR="00D7504C" w:rsidRDefault="00D7504C"/>
        </w:tc>
      </w:tr>
    </w:tbl>
    <w:p w:rsidR="00D7504C" w:rsidRDefault="00D7504C" w:rsidP="00D7504C">
      <w:pPr>
        <w:spacing w:after="0" w:line="240" w:lineRule="auto"/>
        <w:rPr>
          <w:rFonts w:ascii="Times New Roman" w:eastAsia="Times New Roman" w:hAnsi="Times New Roman" w:cs="Times New Roman"/>
          <w:vanish/>
          <w:sz w:val="24"/>
          <w:szCs w:val="24"/>
          <w:lang w:eastAsia="en-GB"/>
        </w:rPr>
      </w:pPr>
    </w:p>
    <w:p w:rsidR="00D7504C" w:rsidRDefault="00D7504C" w:rsidP="00D7504C">
      <w:pPr>
        <w:spacing w:after="0" w:line="240" w:lineRule="auto"/>
        <w:rPr>
          <w:rFonts w:ascii="Calibri" w:eastAsia="Times New Roman" w:hAnsi="Calibri" w:cs="Calibri"/>
          <w:b/>
          <w:lang w:eastAsia="en-GB"/>
        </w:rPr>
      </w:pPr>
      <w:r>
        <w:rPr>
          <w:rFonts w:ascii="Calibri" w:eastAsia="Times New Roman" w:hAnsi="Calibri" w:cs="Calibri"/>
          <w:b/>
          <w:lang w:eastAsia="en-GB"/>
        </w:rPr>
        <w:t>For Information:</w:t>
      </w:r>
    </w:p>
    <w:p w:rsidR="00D7504C" w:rsidRDefault="00D7504C" w:rsidP="00D7504C">
      <w:pPr>
        <w:spacing w:after="0" w:line="240" w:lineRule="auto"/>
        <w:rPr>
          <w:rFonts w:ascii="Calibri" w:eastAsia="Times New Roman" w:hAnsi="Calibri" w:cs="Calibri"/>
          <w:lang w:eastAsia="en-GB"/>
        </w:rPr>
      </w:pPr>
      <w:r>
        <w:rPr>
          <w:rFonts w:ascii="Calibri" w:eastAsia="Times New Roman" w:hAnsi="Calibri" w:cs="Calibri"/>
          <w:lang w:eastAsia="en-GB"/>
        </w:rPr>
        <w:t xml:space="preserve">There is to be a </w:t>
      </w:r>
      <w:hyperlink r:id="rId8" w:history="1">
        <w:r>
          <w:rPr>
            <w:rStyle w:val="Hyperlink"/>
            <w:rFonts w:ascii="Calibri" w:eastAsia="Times New Roman" w:hAnsi="Calibri" w:cs="Calibri"/>
            <w:lang w:eastAsia="en-GB"/>
          </w:rPr>
          <w:t>May 30</w:t>
        </w:r>
        <w:r>
          <w:rPr>
            <w:rStyle w:val="Hyperlink"/>
            <w:rFonts w:ascii="Calibri" w:eastAsia="Times New Roman" w:hAnsi="Calibri" w:cs="Calibri"/>
            <w:vertAlign w:val="superscript"/>
            <w:lang w:eastAsia="en-GB"/>
          </w:rPr>
          <w:t>th</w:t>
        </w:r>
        <w:r>
          <w:rPr>
            <w:rStyle w:val="Hyperlink"/>
            <w:rFonts w:ascii="Calibri" w:eastAsia="Times New Roman" w:hAnsi="Calibri" w:cs="Calibri"/>
            <w:lang w:eastAsia="en-GB"/>
          </w:rPr>
          <w:t xml:space="preserve"> Board</w:t>
        </w:r>
      </w:hyperlink>
      <w:r>
        <w:rPr>
          <w:rFonts w:ascii="Calibri" w:eastAsia="Times New Roman" w:hAnsi="Calibri" w:cs="Calibri"/>
          <w:lang w:eastAsia="en-GB"/>
        </w:rPr>
        <w:t xml:space="preserve"> meeting by the OPDC.</w:t>
      </w:r>
    </w:p>
    <w:p w:rsidR="00D7504C" w:rsidRDefault="00D7504C" w:rsidP="00D7504C">
      <w:pPr>
        <w:spacing w:after="0" w:line="240" w:lineRule="auto"/>
        <w:rPr>
          <w:rFonts w:ascii="Times New Roman" w:eastAsia="Times New Roman" w:hAnsi="Times New Roman" w:cs="Times New Roman"/>
          <w:sz w:val="24"/>
          <w:szCs w:val="24"/>
          <w:lang w:eastAsia="en-GB"/>
        </w:rPr>
      </w:pPr>
    </w:p>
    <w:p w:rsidR="00D7504C" w:rsidRDefault="00D7504C" w:rsidP="00D7504C">
      <w:pPr>
        <w:spacing w:after="0" w:line="240" w:lineRule="auto"/>
        <w:rPr>
          <w:rFonts w:ascii="Times New Roman" w:eastAsia="Times New Roman" w:hAnsi="Times New Roman" w:cs="Times New Roman"/>
          <w:sz w:val="24"/>
          <w:szCs w:val="24"/>
          <w:lang w:eastAsia="en-GB"/>
        </w:rPr>
      </w:pPr>
      <w:bookmarkStart w:id="0" w:name="_GoBack"/>
      <w:bookmarkEnd w:id="0"/>
    </w:p>
    <w:p w:rsidR="00D7504C" w:rsidRDefault="00D7504C" w:rsidP="00D7504C">
      <w:pPr>
        <w:spacing w:after="0" w:line="450" w:lineRule="atLeast"/>
        <w:rPr>
          <w:rFonts w:ascii="Arial" w:eastAsia="Times New Roman" w:hAnsi="Arial" w:cs="Arial"/>
          <w:b/>
          <w:bCs/>
          <w:color w:val="9E0059"/>
          <w:sz w:val="36"/>
          <w:szCs w:val="36"/>
          <w:lang w:eastAsia="en-GB"/>
        </w:rPr>
      </w:pPr>
      <w:r>
        <w:rPr>
          <w:rFonts w:ascii="Calibri" w:eastAsia="Times New Roman" w:hAnsi="Calibri" w:cs="Calibri"/>
          <w:lang w:eastAsia="en-GB"/>
        </w:rPr>
        <w:t>Some relevant extracts from the OPDC’s May 2019 Newsletter are as follows:</w:t>
      </w:r>
    </w:p>
    <w:p w:rsidR="00D7504C" w:rsidRDefault="00D7504C" w:rsidP="00D7504C">
      <w:pPr>
        <w:spacing w:before="100" w:beforeAutospacing="1" w:after="100" w:afterAutospacing="1" w:line="300" w:lineRule="atLeast"/>
        <w:rPr>
          <w:rFonts w:ascii="Arial" w:eastAsia="Times New Roman" w:hAnsi="Arial" w:cs="Arial"/>
          <w:i/>
          <w:lang w:eastAsia="en-GB"/>
        </w:rPr>
      </w:pPr>
      <w:r>
        <w:rPr>
          <w:rFonts w:ascii="Arial" w:eastAsia="Times New Roman" w:hAnsi="Arial" w:cs="Arial"/>
          <w:lang w:eastAsia="en-GB"/>
        </w:rPr>
        <w:t xml:space="preserve">Examination of the draft Local Plan: </w:t>
      </w:r>
      <w:r>
        <w:rPr>
          <w:rFonts w:ascii="Arial" w:eastAsia="Times New Roman" w:hAnsi="Arial" w:cs="Arial"/>
          <w:i/>
          <w:lang w:eastAsia="en-GB"/>
        </w:rPr>
        <w:t xml:space="preserve">“Thank you to those who attended the Old Oak and Park Royal draft Local Plan </w:t>
      </w:r>
      <w:hyperlink r:id="rId9" w:tgtFrame="_blank" w:history="1">
        <w:r>
          <w:rPr>
            <w:rStyle w:val="Hyperlink"/>
            <w:rFonts w:ascii="Arial" w:eastAsia="Times New Roman" w:hAnsi="Arial" w:cs="Arial"/>
            <w:i/>
            <w:color w:val="auto"/>
            <w:lang w:eastAsia="en-GB"/>
          </w:rPr>
          <w:t>hearings</w:t>
        </w:r>
      </w:hyperlink>
      <w:r>
        <w:rPr>
          <w:rFonts w:ascii="Arial" w:eastAsia="Times New Roman" w:hAnsi="Arial" w:cs="Arial"/>
          <w:i/>
          <w:lang w:eastAsia="en-GB"/>
        </w:rPr>
        <w:t xml:space="preserve"> last month. We appreciate members of the community taking the time to contribute to the process, helping to shape development in the area for generations to come.</w:t>
      </w:r>
    </w:p>
    <w:p w:rsidR="00D7504C" w:rsidRDefault="00D7504C" w:rsidP="00D7504C">
      <w:pPr>
        <w:spacing w:before="100" w:beforeAutospacing="1" w:after="100" w:afterAutospacing="1" w:line="300" w:lineRule="atLeast"/>
        <w:rPr>
          <w:rFonts w:ascii="Arial" w:eastAsia="Times New Roman" w:hAnsi="Arial" w:cs="Arial"/>
          <w:i/>
          <w:lang w:eastAsia="en-GB"/>
        </w:rPr>
      </w:pPr>
      <w:r>
        <w:rPr>
          <w:rFonts w:ascii="Arial" w:eastAsia="Times New Roman" w:hAnsi="Arial" w:cs="Arial"/>
          <w:i/>
          <w:lang w:eastAsia="en-GB"/>
        </w:rPr>
        <w:t>Subjects discussed at the hearing included affordable housing, tall buildings, family housing, parking, Willesden Junction and Wormwood Scrubs.</w:t>
      </w:r>
    </w:p>
    <w:p w:rsidR="00D7504C" w:rsidRDefault="00D7504C" w:rsidP="00D7504C">
      <w:pPr>
        <w:spacing w:before="100" w:beforeAutospacing="1" w:after="100" w:afterAutospacing="1" w:line="300" w:lineRule="atLeast"/>
        <w:rPr>
          <w:rFonts w:ascii="Arial" w:eastAsia="Times New Roman" w:hAnsi="Arial" w:cs="Arial"/>
          <w:i/>
          <w:lang w:eastAsia="en-GB"/>
        </w:rPr>
      </w:pPr>
      <w:r>
        <w:rPr>
          <w:rFonts w:ascii="Arial" w:eastAsia="Times New Roman" w:hAnsi="Arial" w:cs="Arial"/>
          <w:i/>
          <w:lang w:eastAsia="en-GB"/>
        </w:rPr>
        <w:t>The details for the next hearing session are as follows:</w:t>
      </w:r>
    </w:p>
    <w:p w:rsidR="00D7504C" w:rsidRDefault="00D7504C" w:rsidP="00D7504C">
      <w:pPr>
        <w:spacing w:before="100" w:beforeAutospacing="1" w:after="100" w:afterAutospacing="1" w:line="300" w:lineRule="atLeast"/>
        <w:rPr>
          <w:rFonts w:ascii="Arial" w:eastAsia="Times New Roman" w:hAnsi="Arial" w:cs="Arial"/>
          <w:i/>
          <w:lang w:eastAsia="en-GB"/>
        </w:rPr>
      </w:pPr>
      <w:r>
        <w:rPr>
          <w:rFonts w:ascii="Arial" w:eastAsia="Times New Roman" w:hAnsi="Arial" w:cs="Arial"/>
          <w:b/>
          <w:bCs/>
          <w:i/>
          <w:lang w:eastAsia="en-GB"/>
        </w:rPr>
        <w:t>Venue</w:t>
      </w:r>
      <w:r>
        <w:rPr>
          <w:rFonts w:ascii="Arial" w:eastAsia="Times New Roman" w:hAnsi="Arial" w:cs="Arial"/>
          <w:i/>
          <w:lang w:eastAsia="en-GB"/>
        </w:rPr>
        <w:t>: The Collective Old Oak, Nash House, Old Oak Lane, NW10 6FF</w:t>
      </w:r>
    </w:p>
    <w:p w:rsidR="00D7504C" w:rsidRDefault="00D7504C" w:rsidP="00D7504C">
      <w:pPr>
        <w:spacing w:before="100" w:beforeAutospacing="1" w:after="100" w:afterAutospacing="1" w:line="300" w:lineRule="atLeast"/>
        <w:rPr>
          <w:rFonts w:ascii="Arial" w:eastAsia="Times New Roman" w:hAnsi="Arial" w:cs="Arial"/>
          <w:i/>
          <w:lang w:eastAsia="en-GB"/>
        </w:rPr>
      </w:pPr>
      <w:r>
        <w:rPr>
          <w:rFonts w:ascii="Arial" w:eastAsia="Times New Roman" w:hAnsi="Arial" w:cs="Arial"/>
          <w:b/>
          <w:bCs/>
          <w:i/>
          <w:lang w:eastAsia="en-GB"/>
        </w:rPr>
        <w:t>Date</w:t>
      </w:r>
      <w:r>
        <w:rPr>
          <w:rFonts w:ascii="Arial" w:eastAsia="Times New Roman" w:hAnsi="Arial" w:cs="Arial"/>
          <w:i/>
          <w:lang w:eastAsia="en-GB"/>
        </w:rPr>
        <w:t xml:space="preserve">: 6 June 2019 </w:t>
      </w:r>
      <w:r>
        <w:rPr>
          <w:rFonts w:ascii="Arial" w:eastAsia="Times New Roman" w:hAnsi="Arial" w:cs="Arial"/>
          <w:b/>
          <w:bCs/>
          <w:i/>
          <w:lang w:eastAsia="en-GB"/>
        </w:rPr>
        <w:t>Time</w:t>
      </w:r>
      <w:r>
        <w:rPr>
          <w:rFonts w:ascii="Arial" w:eastAsia="Times New Roman" w:hAnsi="Arial" w:cs="Arial"/>
          <w:i/>
          <w:lang w:eastAsia="en-GB"/>
        </w:rPr>
        <w:t>: 10</w:t>
      </w:r>
      <w:proofErr w:type="gramStart"/>
      <w:r>
        <w:rPr>
          <w:rFonts w:ascii="Arial" w:eastAsia="Times New Roman" w:hAnsi="Arial" w:cs="Arial"/>
          <w:i/>
          <w:lang w:eastAsia="en-GB"/>
        </w:rPr>
        <w:t>am</w:t>
      </w:r>
      <w:proofErr w:type="gramEnd"/>
    </w:p>
    <w:p w:rsidR="00D7504C" w:rsidRDefault="00D7504C" w:rsidP="00D7504C">
      <w:pPr>
        <w:spacing w:before="100" w:beforeAutospacing="1" w:after="100" w:afterAutospacing="1" w:line="300" w:lineRule="atLeast"/>
        <w:rPr>
          <w:rFonts w:ascii="Arial" w:eastAsia="Times New Roman" w:hAnsi="Arial" w:cs="Arial"/>
          <w:i/>
          <w:lang w:eastAsia="en-GB"/>
        </w:rPr>
      </w:pPr>
      <w:r>
        <w:rPr>
          <w:rFonts w:ascii="Arial" w:eastAsia="Times New Roman" w:hAnsi="Arial" w:cs="Arial"/>
          <w:i/>
          <w:lang w:eastAsia="en-GB"/>
        </w:rPr>
        <w:lastRenderedPageBreak/>
        <w:t>We’re now following up with members of the community about any queries that could not be answered as part of the hearing process.</w:t>
      </w:r>
    </w:p>
    <w:p w:rsidR="00D7504C" w:rsidRDefault="00D7504C" w:rsidP="00D7504C">
      <w:pPr>
        <w:rPr>
          <w:rFonts w:ascii="Arial" w:eastAsia="Times New Roman" w:hAnsi="Arial" w:cs="Arial"/>
          <w:lang w:eastAsia="en-GB"/>
        </w:rPr>
      </w:pPr>
      <w:r>
        <w:rPr>
          <w:rFonts w:ascii="Arial" w:eastAsia="Times New Roman" w:hAnsi="Arial" w:cs="Arial"/>
          <w:i/>
          <w:lang w:eastAsia="en-GB"/>
        </w:rPr>
        <w:t>We took on board feedback from local people about the location of the hearings. Having explored options, OPDC has invested in hiring additional equipment so that the final hearing can take place at the Collective, making it easier for local people to attend”.</w:t>
      </w:r>
    </w:p>
    <w:p w:rsidR="00D7504C" w:rsidRDefault="00D7504C" w:rsidP="00D7504C">
      <w:pPr>
        <w:rPr>
          <w:rFonts w:ascii="Arial" w:eastAsia="Times New Roman" w:hAnsi="Arial" w:cs="Arial"/>
          <w:i/>
          <w:sz w:val="24"/>
          <w:szCs w:val="24"/>
          <w:lang w:eastAsia="en-GB"/>
        </w:rPr>
      </w:pPr>
      <w:r>
        <w:rPr>
          <w:rFonts w:ascii="Arial" w:eastAsia="Times New Roman" w:hAnsi="Arial" w:cs="Arial"/>
          <w:bCs/>
          <w:sz w:val="24"/>
          <w:szCs w:val="24"/>
          <w:lang w:eastAsia="en-GB"/>
        </w:rPr>
        <w:t>Consultation on OPDC’s Statement of Community Involvement and Engagement Strategy</w:t>
      </w:r>
      <w:r>
        <w:rPr>
          <w:rFonts w:ascii="Arial" w:eastAsia="Times New Roman" w:hAnsi="Arial" w:cs="Arial"/>
          <w:bCs/>
          <w:i/>
          <w:sz w:val="24"/>
          <w:szCs w:val="24"/>
          <w:lang w:eastAsia="en-GB"/>
        </w:rPr>
        <w:t>: “</w:t>
      </w:r>
      <w:r>
        <w:rPr>
          <w:rFonts w:ascii="Arial" w:eastAsia="Times New Roman" w:hAnsi="Arial" w:cs="Arial"/>
          <w:i/>
          <w:sz w:val="24"/>
          <w:szCs w:val="24"/>
          <w:lang w:eastAsia="en-GB"/>
        </w:rPr>
        <w:t>OPDC will be consulting on our updated draft Statement of Community Involvement (SCI), and draft Engagement Strategy in June.</w:t>
      </w:r>
    </w:p>
    <w:p w:rsidR="00D7504C" w:rsidRDefault="00D7504C" w:rsidP="00D7504C">
      <w:pPr>
        <w:spacing w:before="100" w:beforeAutospacing="1" w:after="100" w:afterAutospacing="1" w:line="300" w:lineRule="atLeast"/>
        <w:rPr>
          <w:rFonts w:ascii="Arial" w:eastAsia="Times New Roman" w:hAnsi="Arial" w:cs="Arial"/>
          <w:i/>
          <w:sz w:val="24"/>
          <w:szCs w:val="24"/>
          <w:lang w:eastAsia="en-GB"/>
        </w:rPr>
      </w:pPr>
      <w:r>
        <w:rPr>
          <w:rFonts w:ascii="Arial" w:eastAsia="Times New Roman" w:hAnsi="Arial" w:cs="Arial"/>
          <w:i/>
          <w:sz w:val="24"/>
          <w:szCs w:val="24"/>
          <w:lang w:eastAsia="en-GB"/>
        </w:rPr>
        <w:t>These documents will help OPDC to effectively leverage the community’s wealth of local knowledge and set out how they will be involved in guiding future regeneration.</w:t>
      </w:r>
    </w:p>
    <w:p w:rsidR="00D7504C" w:rsidRDefault="00D7504C" w:rsidP="00D7504C">
      <w:pPr>
        <w:rPr>
          <w:rFonts w:ascii="Arial" w:eastAsia="Times New Roman" w:hAnsi="Arial" w:cs="Arial"/>
          <w:i/>
          <w:sz w:val="24"/>
          <w:szCs w:val="24"/>
          <w:lang w:eastAsia="en-GB"/>
        </w:rPr>
      </w:pPr>
      <w:r>
        <w:rPr>
          <w:rFonts w:ascii="Arial" w:eastAsia="Times New Roman" w:hAnsi="Arial" w:cs="Arial"/>
          <w:i/>
          <w:sz w:val="24"/>
          <w:szCs w:val="24"/>
          <w:lang w:eastAsia="en-GB"/>
        </w:rPr>
        <w:t>The statutory SCI explains how OPDC, in its role as local planning authority, makes sure that communities are informed, engaged and involved in shaping and deciding planning applications and preparing planning policy.</w:t>
      </w:r>
    </w:p>
    <w:p w:rsidR="00D7504C" w:rsidRDefault="00D7504C" w:rsidP="00D7504C">
      <w:pPr>
        <w:spacing w:before="100" w:beforeAutospacing="1" w:after="100" w:afterAutospacing="1" w:line="300" w:lineRule="atLeast"/>
        <w:rPr>
          <w:rFonts w:ascii="Arial" w:eastAsia="Times New Roman" w:hAnsi="Arial" w:cs="Arial"/>
          <w:i/>
          <w:sz w:val="24"/>
          <w:szCs w:val="24"/>
          <w:lang w:eastAsia="en-GB"/>
        </w:rPr>
      </w:pPr>
      <w:r>
        <w:rPr>
          <w:rFonts w:ascii="Arial" w:eastAsia="Times New Roman" w:hAnsi="Arial" w:cs="Arial"/>
          <w:i/>
          <w:sz w:val="24"/>
          <w:szCs w:val="24"/>
          <w:lang w:eastAsia="en-GB"/>
        </w:rPr>
        <w:t>As part of the consultation we'll also publish the updated, draft Engagement Strategy. While not a statutory requirement, it relates to OPDC’s broader responsibilities and activities as a Development Corporation, and sets out the overarching approach to added value engagement and outreach with local people.</w:t>
      </w:r>
    </w:p>
    <w:p w:rsidR="00D7504C" w:rsidRDefault="00D7504C" w:rsidP="00D7504C">
      <w:pPr>
        <w:rPr>
          <w:rFonts w:ascii="Arial" w:eastAsia="Times New Roman" w:hAnsi="Arial" w:cs="Arial"/>
          <w:i/>
          <w:sz w:val="24"/>
          <w:szCs w:val="24"/>
          <w:lang w:eastAsia="en-GB"/>
        </w:rPr>
      </w:pPr>
      <w:r>
        <w:rPr>
          <w:rFonts w:ascii="Arial" w:eastAsia="Times New Roman" w:hAnsi="Arial" w:cs="Arial"/>
          <w:i/>
          <w:sz w:val="24"/>
          <w:szCs w:val="24"/>
          <w:lang w:eastAsia="en-GB"/>
        </w:rPr>
        <w:t>These documents promote and facilitate best practice community engagement across the OPDC area. We welcome everyone to have their say as part of this consultation and will publicise details of how you can get involved shortly”.   </w:t>
      </w:r>
    </w:p>
    <w:p w:rsidR="00D7504C" w:rsidRDefault="00D7504C" w:rsidP="00D7504C">
      <w:pPr>
        <w:spacing w:before="100" w:beforeAutospacing="1" w:after="100" w:afterAutospacing="1" w:line="30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Harlesden Neighbourhood Plan Referendum: </w:t>
      </w:r>
    </w:p>
    <w:p w:rsidR="00D7504C" w:rsidRDefault="00D7504C" w:rsidP="00D7504C">
      <w:pPr>
        <w:spacing w:before="100" w:beforeAutospacing="1" w:after="100" w:afterAutospacing="1" w:line="300" w:lineRule="atLeast"/>
        <w:rPr>
          <w:rFonts w:ascii="Arial" w:eastAsia="Times New Roman" w:hAnsi="Arial" w:cs="Arial"/>
          <w:i/>
          <w:sz w:val="24"/>
          <w:szCs w:val="24"/>
          <w:lang w:eastAsia="en-GB"/>
        </w:rPr>
      </w:pPr>
      <w:r>
        <w:rPr>
          <w:rFonts w:ascii="Arial" w:eastAsia="Times New Roman" w:hAnsi="Arial" w:cs="Arial"/>
          <w:i/>
          <w:sz w:val="24"/>
          <w:szCs w:val="24"/>
          <w:lang w:eastAsia="en-GB"/>
        </w:rPr>
        <w:t>“Brent Council and the OPDC have approved for the Harlesden Neighbourhood Plan to progress to a referendum. </w:t>
      </w:r>
    </w:p>
    <w:p w:rsidR="00D7504C" w:rsidRDefault="00D7504C" w:rsidP="00D7504C">
      <w:pPr>
        <w:rPr>
          <w:i/>
        </w:rPr>
      </w:pPr>
      <w:r>
        <w:rPr>
          <w:rFonts w:ascii="Arial" w:eastAsia="Times New Roman" w:hAnsi="Arial" w:cs="Arial"/>
          <w:i/>
          <w:sz w:val="24"/>
          <w:szCs w:val="24"/>
          <w:lang w:eastAsia="en-GB"/>
        </w:rPr>
        <w:t xml:space="preserve">The </w:t>
      </w:r>
      <w:hyperlink r:id="rId10" w:tgtFrame="_blank" w:history="1">
        <w:r>
          <w:rPr>
            <w:rStyle w:val="Hyperlink"/>
            <w:rFonts w:ascii="Arial" w:eastAsia="Times New Roman" w:hAnsi="Arial" w:cs="Arial"/>
            <w:i/>
            <w:color w:val="auto"/>
            <w:sz w:val="24"/>
            <w:szCs w:val="24"/>
            <w:lang w:eastAsia="en-GB"/>
          </w:rPr>
          <w:t>referendum</w:t>
        </w:r>
      </w:hyperlink>
      <w:r>
        <w:rPr>
          <w:rFonts w:ascii="Arial" w:eastAsia="Times New Roman" w:hAnsi="Arial" w:cs="Arial"/>
          <w:i/>
          <w:sz w:val="24"/>
          <w:szCs w:val="24"/>
          <w:lang w:eastAsia="en-GB"/>
        </w:rPr>
        <w:t xml:space="preserve"> will take place on 30 May 2019. If the majority of votes are in favour of the Plan then it will be adopted by Brent Council and the OPDC to guide development in the neighbourhood area alongside other planning policies”.</w:t>
      </w:r>
    </w:p>
    <w:p w:rsidR="00D7504C" w:rsidRDefault="00D7504C" w:rsidP="00D7504C"/>
    <w:p w:rsidR="00515C12" w:rsidRDefault="00515C12"/>
    <w:sectPr w:rsidR="00515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4C"/>
    <w:rsid w:val="00515C12"/>
    <w:rsid w:val="00D7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0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moderngovopdc/ieListDocuments.aspx?CId=378&amp;MId=6108&amp;Ver=4" TargetMode="External"/><Relationship Id="rId3" Type="http://schemas.openxmlformats.org/officeDocument/2006/relationships/settings" Target="settings.xml"/><Relationship Id="rId7" Type="http://schemas.openxmlformats.org/officeDocument/2006/relationships/hyperlink" Target="https://www.london.gov.uk/sites/default/files/opdc-025_opdc_response_to_hearing_actions_matter_3_-_figures_and_policies_map.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ondon.gov.uk/sites/default/files/id-26_hearing_actions.pdf" TargetMode="External"/><Relationship Id="rId11" Type="http://schemas.openxmlformats.org/officeDocument/2006/relationships/fontTable" Target="fontTable.xml"/><Relationship Id="rId5" Type="http://schemas.openxmlformats.org/officeDocument/2006/relationships/hyperlink" Target="https://www.london.gov.uk/sites/default/files/opdc-028_opdc_response_to_hearing_actions_matter_6_-_willesden_junction.pdf" TargetMode="External"/><Relationship Id="rId10" Type="http://schemas.openxmlformats.org/officeDocument/2006/relationships/hyperlink" Target="http://opdc.email.london.gov.uk/_act/link.php?mId=AL824779160739164473225536349&amp;tId=30372427" TargetMode="External"/><Relationship Id="rId4" Type="http://schemas.openxmlformats.org/officeDocument/2006/relationships/webSettings" Target="webSettings.xml"/><Relationship Id="rId9" Type="http://schemas.openxmlformats.org/officeDocument/2006/relationships/hyperlink" Target="http://opdc.email.london.gov.uk/_act/link.php?mId=AL824779160739164473225536349&amp;tId=30372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Brown</dc:creator>
  <cp:lastModifiedBy>Robin Brown</cp:lastModifiedBy>
  <cp:revision>1</cp:revision>
  <dcterms:created xsi:type="dcterms:W3CDTF">2019-06-02T21:57:00Z</dcterms:created>
  <dcterms:modified xsi:type="dcterms:W3CDTF">2019-06-02T22:01:00Z</dcterms:modified>
</cp:coreProperties>
</file>